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tribunal"/>
    <w:p>
      <w:pPr>
        <w:pStyle w:val="Heading2"/>
      </w:pPr>
      <w:r>
        <w:t xml:space="preserve">Tribunal</w:t>
      </w:r>
    </w:p>
    <w:p>
      <w:pPr>
        <w:pStyle w:val="FirstParagraph"/>
      </w:pPr>
      <w:r>
        <w:rPr>
          <w:b/>
          <w:bCs/>
        </w:rPr>
        <w:t xml:space="preserve">Juízo da 2.ª Vara Cível do Tribunal Judicial da Comarca de Lisboa</w:t>
      </w:r>
    </w:p>
    <w:bookmarkEnd w:id="9"/>
    <w:bookmarkStart w:id="13" w:name="processo-n.º-123424.5t8lsb"/>
    <w:p>
      <w:pPr>
        <w:pStyle w:val="Heading2"/>
      </w:pPr>
      <w:r>
        <w:t xml:space="preserve">Processo n.º</w:t>
      </w:r>
      <w:r>
        <w:t xml:space="preserve"> </w:t>
      </w:r>
      <w:r>
        <w:rPr>
          <w:b/>
          <w:bCs/>
        </w:rPr>
        <w:t xml:space="preserve">1234/24.5T8LSB</w:t>
      </w:r>
    </w:p>
    <w:bookmarkStart w:id="10" w:name="requerente"/>
    <w:p>
      <w:pPr>
        <w:pStyle w:val="Heading3"/>
      </w:pPr>
      <w:r>
        <w:t xml:space="preserve">Requerente</w: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  <w:r>
        <w:br/>
      </w:r>
      <w:r>
        <w:t xml:space="preserve">NIF: 508 123 456</w:t>
      </w:r>
      <w:r>
        <w:br/>
      </w:r>
      <w:r>
        <w:t xml:space="preserve">Endereço: Av. das Nações Unidas, n.º 45, 1050‑064 Lisboa</w:t>
      </w:r>
    </w:p>
    <w:bookmarkEnd w:id="10"/>
    <w:bookmarkStart w:id="11" w:name="réu"/>
    <w:p>
      <w:pPr>
        <w:pStyle w:val="Heading3"/>
      </w:pPr>
      <w:r>
        <w:t xml:space="preserve">Réu</w:t>
      </w:r>
    </w:p>
    <w:p>
      <w:pPr>
        <w:pStyle w:val="FirstParagraph"/>
      </w:pPr>
      <w:r>
        <w:rPr>
          <w:b/>
          <w:bCs/>
        </w:rPr>
        <w:t xml:space="preserve">ABC – Consultoria Empresarial, Lda.</w:t>
      </w:r>
      <w:r>
        <w:br/>
      </w:r>
      <w:r>
        <w:t xml:space="preserve">NIF: 509 987 654</w:t>
      </w:r>
      <w:r>
        <w:br/>
      </w:r>
      <w:r>
        <w:t xml:space="preserve">Endereço: Rua da Boavista, n.º 120, 4100‑115 Porto</w:t>
      </w:r>
    </w:p>
    <w:bookmarkEnd w:id="11"/>
    <w:bookmarkStart w:id="12" w:name="mandatários"/>
    <w:p>
      <w:pPr>
        <w:pStyle w:val="Heading3"/>
      </w:pPr>
      <w:r>
        <w:t xml:space="preserve">Mandatários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Dr. João Silva</w:t>
      </w:r>
      <w:r>
        <w:t xml:space="preserve"> </w:t>
      </w:r>
      <w:r>
        <w:t xml:space="preserve">– OAB 12345, advogado, com escritório na Av. da República, n.º 10, 1050‑190 Lisboa;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Dra. Maria Fernandes</w:t>
      </w:r>
      <w:r>
        <w:t xml:space="preserve"> </w:t>
      </w:r>
      <w:r>
        <w:t xml:space="preserve">– OAB 67890, advogada, com escritório na Rua de São Bento, n.º 30, 1200‑821 Lisboa.</w:t>
      </w:r>
    </w:p>
    <w:p>
      <w:pPr>
        <w:pStyle w:val="FirstParagraph"/>
      </w:pPr>
      <w:r>
        <w:t xml:space="preserve">Lisboa, 20 de maio de 2024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21" w:name="X8a53536323454cc3edeef8f04a28f364272148e"/>
    <w:p>
      <w:pPr>
        <w:pStyle w:val="Heading1"/>
      </w:pPr>
      <w:r>
        <w:rPr>
          <w:b/>
          <w:bCs/>
        </w:rPr>
        <w:t xml:space="preserve">REQUERIMENTO DE PENHORA DE BENS – GARANTIA DE EXECUÇÃO</w:t>
      </w:r>
    </w:p>
    <w:p>
      <w:pPr>
        <w:pStyle w:val="FirstParagraph"/>
      </w:pPr>
      <w:r>
        <w:rPr>
          <w:b/>
          <w:bCs/>
        </w:rPr>
        <w:t xml:space="preserve">Exmo. Sr. Juiz de Direito da 2.ª Vara Cível do Tribunal Judicial da Comarca de Lisboa,</w:t>
      </w:r>
    </w:p>
    <w:bookmarkStart w:id="14" w:name="i.-dos-factos"/>
    <w:p>
      <w:pPr>
        <w:pStyle w:val="Heading3"/>
      </w:pPr>
      <w:r>
        <w:t xml:space="preserve">I. Dos Factos</w:t>
      </w:r>
    </w:p>
    <w:p>
      <w:pPr>
        <w:numPr>
          <w:ilvl w:val="0"/>
          <w:numId w:val="1002"/>
        </w:numPr>
      </w:pPr>
      <w:r>
        <w:t xml:space="preserve">A Requerente celebrou, em 15 de janeiro de 2023,</w:t>
      </w:r>
      <w:r>
        <w:t xml:space="preserve"> </w:t>
      </w:r>
      <w:r>
        <w:rPr>
          <w:b/>
          <w:bCs/>
        </w:rPr>
        <w:t xml:space="preserve">Contrato de Prestação de Serviços de Tecnologia</w:t>
      </w:r>
      <w:r>
        <w:t xml:space="preserve"> </w:t>
      </w:r>
      <w:r>
        <w:t xml:space="preserve">com a Ré, identificado pelo número</w:t>
      </w:r>
      <w:r>
        <w:t xml:space="preserve"> </w:t>
      </w:r>
      <w:r>
        <w:rPr>
          <w:b/>
          <w:bCs/>
        </w:rPr>
        <w:t xml:space="preserve">CT‑2023/001</w:t>
      </w:r>
      <w:r>
        <w:t xml:space="preserve">, cujo objeto consistia na implementação e manutenção de um sistema informático integrado para a atividade empresarial da ABC – Consultoria Empresarial, Lda.</w:t>
      </w:r>
    </w:p>
    <w:p>
      <w:pPr>
        <w:numPr>
          <w:ilvl w:val="0"/>
          <w:numId w:val="1002"/>
        </w:numPr>
      </w:pPr>
      <w:r>
        <w:t xml:space="preserve">Nos termos do referido contrato, a Ré obrigou‑se a pagar à Requerente a quantia total de</w:t>
      </w:r>
      <w:r>
        <w:t xml:space="preserve"> </w:t>
      </w:r>
      <w:r>
        <w:rPr>
          <w:b/>
          <w:bCs/>
        </w:rPr>
        <w:t xml:space="preserve">€ 250 000,00</w:t>
      </w:r>
      <w:r>
        <w:t xml:space="preserve">, dos quais</w:t>
      </w:r>
      <w:r>
        <w:t xml:space="preserve"> </w:t>
      </w:r>
      <w:r>
        <w:rPr>
          <w:b/>
          <w:bCs/>
        </w:rPr>
        <w:t xml:space="preserve">€ 100 000,00</w:t>
      </w:r>
      <w:r>
        <w:t xml:space="preserve"> </w:t>
      </w:r>
      <w:r>
        <w:t xml:space="preserve">foram antecipadamente entregues em 20 de janeiro de 2023, mediante transferência bancária para a conta da XYZ – Serviços de Tecnologia, Lda. (IBAN PT50 0000 0000 0000 0000 0015).</w:t>
      </w:r>
    </w:p>
    <w:p>
      <w:pPr>
        <w:numPr>
          <w:ilvl w:val="0"/>
          <w:numId w:val="1002"/>
        </w:numPr>
      </w:pPr>
      <w:r>
        <w:t xml:space="preserve">A partir de 30 de março de 2024, a Ré passou a incorrer em</w:t>
      </w:r>
      <w:r>
        <w:t xml:space="preserve"> </w:t>
      </w:r>
      <w:r>
        <w:rPr>
          <w:b/>
          <w:bCs/>
        </w:rPr>
        <w:t xml:space="preserve">incumprimentos graves</w:t>
      </w:r>
      <w:r>
        <w:t xml:space="preserve"> </w:t>
      </w:r>
      <w:r>
        <w:t xml:space="preserve">das suas obrigações contratuais, nomeadamente:</w:t>
      </w:r>
    </w:p>
    <w:p>
      <w:pPr>
        <w:pStyle w:val="Compact"/>
        <w:numPr>
          <w:ilvl w:val="1"/>
          <w:numId w:val="1003"/>
        </w:numPr>
      </w:pPr>
      <w:r>
        <w:t xml:space="preserve">Não disponibilização de recursos humanos qualificados para a fase de testes;</w:t>
      </w:r>
    </w:p>
    <w:p>
      <w:pPr>
        <w:pStyle w:val="Compact"/>
        <w:numPr>
          <w:ilvl w:val="1"/>
          <w:numId w:val="1003"/>
        </w:numPr>
      </w:pPr>
      <w:r>
        <w:t xml:space="preserve">Falha reiterada na entrega de documentação técnica, apesar de notificação escrita em 10 de abril de 2024;</w:t>
      </w:r>
    </w:p>
    <w:p>
      <w:pPr>
        <w:pStyle w:val="Compact"/>
        <w:numPr>
          <w:ilvl w:val="1"/>
          <w:numId w:val="1003"/>
        </w:numPr>
      </w:pPr>
      <w:r>
        <w:t xml:space="preserve">Interrupção unilateral dos pagamentos devidos à Requerente, totalizando</w:t>
      </w:r>
      <w:r>
        <w:t xml:space="preserve"> </w:t>
      </w:r>
      <w:r>
        <w:rPr>
          <w:b/>
          <w:bCs/>
        </w:rPr>
        <w:t xml:space="preserve">€ 80 000,00</w:t>
      </w:r>
      <w:r>
        <w:t xml:space="preserve"> </w:t>
      </w:r>
      <w:r>
        <w:t xml:space="preserve">em atraso.</w:t>
      </w:r>
    </w:p>
    <w:p>
      <w:pPr>
        <w:numPr>
          <w:ilvl w:val="0"/>
          <w:numId w:val="1002"/>
        </w:numPr>
      </w:pPr>
      <w:r>
        <w:t xml:space="preserve">Em virtude destes incumprimentos, a Requerente interpôs, em 5 de maio de 2024,</w:t>
      </w:r>
      <w:r>
        <w:t xml:space="preserve"> </w:t>
      </w:r>
      <w:r>
        <w:rPr>
          <w:b/>
          <w:bCs/>
        </w:rPr>
        <w:t xml:space="preserve">Processo Declarativo de Incumprimento de Contrato</w:t>
      </w:r>
      <w:r>
        <w:t xml:space="preserve">, requerendo a declaração de resolução do contrato, a indemnização por perdas e danos no montante de</w:t>
      </w:r>
      <w:r>
        <w:t xml:space="preserve"> </w:t>
      </w:r>
      <w:r>
        <w:rPr>
          <w:b/>
          <w:bCs/>
        </w:rPr>
        <w:t xml:space="preserve">€ 150 000,00</w:t>
      </w:r>
      <w:r>
        <w:t xml:space="preserve">, bem como a restituição dos pagamentos antecipados.</w:t>
      </w:r>
    </w:p>
    <w:p>
      <w:pPr>
        <w:numPr>
          <w:ilvl w:val="0"/>
          <w:numId w:val="1002"/>
        </w:numPr>
      </w:pPr>
      <w:r>
        <w:t xml:space="preserve">Tendo em conta a probabilidade de sentença favorável à Requerente e a necessidade de assegurar a efetiva execução da mesma, requer-se a</w:t>
      </w:r>
      <w:r>
        <w:t xml:space="preserve"> </w:t>
      </w:r>
      <w:r>
        <w:rPr>
          <w:b/>
          <w:bCs/>
        </w:rPr>
        <w:t xml:space="preserve">garantia de execução</w:t>
      </w:r>
      <w:r>
        <w:t xml:space="preserve"> </w:t>
      </w:r>
      <w:r>
        <w:t xml:space="preserve">mediante penhora de bens pertencentes à Ré, nos termos dos artigos 657.º e seguintes do Código de Processo Civil.</w:t>
      </w:r>
    </w:p>
    <w:bookmarkEnd w:id="14"/>
    <w:bookmarkStart w:id="15" w:name="ii.-do-direito"/>
    <w:p>
      <w:pPr>
        <w:pStyle w:val="Heading3"/>
      </w:pPr>
      <w:r>
        <w:t xml:space="preserve">II. Do Direito</w:t>
      </w:r>
    </w:p>
    <w:p>
      <w:pPr>
        <w:numPr>
          <w:ilvl w:val="0"/>
          <w:numId w:val="1004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657.º do CPC</w:t>
      </w:r>
      <w:r>
        <w:t xml:space="preserve">, a penhora constitui medida cautelar de garantia de execução, devendo ser decretada quando houver fundado receio de que o devedor se desfaça dos bens que garantam o cumprimento da futura sentença.</w:t>
      </w:r>
    </w:p>
    <w:p>
      <w:pPr>
        <w:numPr>
          <w:ilvl w:val="0"/>
          <w:numId w:val="1004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660.º, nº 1</w:t>
      </w:r>
      <w:r>
        <w:t xml:space="preserve">, permite a penhora de bens móveis, imóveis, direitos e valores, devendo ser preferencialmente realizada sobre bens de maior valor e de fácil realização, de modo a assegurar a satisfação do crédito reconhecido.</w:t>
      </w:r>
    </w:p>
    <w:p>
      <w:pPr>
        <w:numPr>
          <w:ilvl w:val="0"/>
          <w:numId w:val="1004"/>
        </w:numPr>
      </w:pPr>
      <w:r>
        <w:t xml:space="preserve">A jurisprudência consolidada do Supremo Tribunal de Justiça (Acórdão de 12 de março de 2022, Processo n.º 345/20.4T8LJ) reconhece a possibilidade de penhora de</w:t>
      </w:r>
      <w:r>
        <w:t xml:space="preserve"> </w:t>
      </w:r>
      <w:r>
        <w:rPr>
          <w:b/>
          <w:bCs/>
        </w:rPr>
        <w:t xml:space="preserve">contas bancárias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veículos automóveis</w:t>
      </w:r>
      <w:r>
        <w:t xml:space="preserve"> </w:t>
      </w:r>
      <w:r>
        <w:t xml:space="preserve">quando o devedor detém ativos significativos, ainda que não existam dívidas de natureza alimentar.</w:t>
      </w:r>
    </w:p>
    <w:bookmarkEnd w:id="15"/>
    <w:bookmarkStart w:id="16" w:name="iii.-do-pedido"/>
    <w:p>
      <w:pPr>
        <w:pStyle w:val="Heading3"/>
      </w:pPr>
      <w:r>
        <w:t xml:space="preserve">III. Do Pedido</w:t>
      </w:r>
    </w:p>
    <w:p>
      <w:pPr>
        <w:pStyle w:val="FirstParagraph"/>
      </w:pPr>
      <w:r>
        <w:t xml:space="preserve">Em face do exposto, a Requerente requer a Vossa Excelência: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89"/>
        <w:gridCol w:w="1817"/>
        <w:gridCol w:w="1947"/>
        <w:gridCol w:w="2077"/>
        <w:gridCol w:w="168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Tipo de Bem</w:t>
            </w:r>
          </w:p>
        </w:tc>
        <w:tc>
          <w:tcPr/>
          <w:p>
            <w:pPr>
              <w:pStyle w:val="Compact"/>
            </w:pPr>
            <w:r>
              <w:t xml:space="preserve">Identificação</w:t>
            </w:r>
          </w:p>
        </w:tc>
        <w:tc>
          <w:tcPr/>
          <w:p>
            <w:pPr>
              <w:pStyle w:val="Compact"/>
            </w:pPr>
            <w:r>
              <w:t xml:space="preserve">Valor Estimado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Imóvel</w:t>
            </w:r>
          </w:p>
        </w:tc>
        <w:tc>
          <w:tcPr/>
          <w:p>
            <w:pPr>
              <w:pStyle w:val="Compact"/>
            </w:pPr>
            <w:r>
              <w:t xml:space="preserve">Fração autónoma nº 3, Rua da Boavista, 120, 4100‑115 Porto (NIF da ABC – 509 987 654)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€ 350 000,00</w:t>
            </w:r>
          </w:p>
        </w:tc>
        <w:tc>
          <w:tcPr/>
          <w:p>
            <w:pPr>
              <w:pStyle w:val="Compact"/>
            </w:pPr>
            <w:r>
              <w:t xml:space="preserve">Registro predial nº 12345/2020 – imóvel urbano, sede da empresa.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Veículo</w:t>
            </w:r>
          </w:p>
        </w:tc>
        <w:tc>
          <w:tcPr/>
          <w:p>
            <w:pPr>
              <w:pStyle w:val="Compact"/>
            </w:pPr>
            <w:r>
              <w:t xml:space="preserve">Automóvel, marca</w:t>
            </w:r>
            <w:r>
              <w:t xml:space="preserve"> </w:t>
            </w:r>
            <w:r>
              <w:rPr>
                <w:b/>
                <w:bCs/>
              </w:rPr>
              <w:t xml:space="preserve">Audi</w:t>
            </w:r>
            <w:r>
              <w:t xml:space="preserve">, modelo A4, matrícula</w:t>
            </w:r>
            <w:r>
              <w:t xml:space="preserve"> </w:t>
            </w:r>
            <w:r>
              <w:rPr>
                <w:b/>
                <w:bCs/>
              </w:rPr>
              <w:t xml:space="preserve">45‑AB‑78</w:t>
            </w:r>
            <w:r>
              <w:t xml:space="preserve">, 2020, chassi</w:t>
            </w:r>
            <w:r>
              <w:t xml:space="preserve"> </w:t>
            </w:r>
            <w:r>
              <w:rPr>
                <w:b/>
                <w:bCs/>
              </w:rPr>
              <w:t xml:space="preserve">WAUZZZ8K5DA123456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€ 28 000,00</w:t>
            </w:r>
          </w:p>
        </w:tc>
        <w:tc>
          <w:tcPr/>
          <w:p>
            <w:pPr>
              <w:pStyle w:val="Compact"/>
            </w:pPr>
            <w:r>
              <w:t xml:space="preserve">Utilizado como veículo de empresa.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Conta Bancária</w:t>
            </w:r>
          </w:p>
        </w:tc>
        <w:tc>
          <w:tcPr/>
          <w:p>
            <w:pPr>
              <w:pStyle w:val="Compact"/>
            </w:pPr>
            <w:r>
              <w:t xml:space="preserve">Conta nº 00123456‑7, Banco</w:t>
            </w:r>
            <w:r>
              <w:t xml:space="preserve"> </w:t>
            </w:r>
            <w:r>
              <w:rPr>
                <w:b/>
                <w:bCs/>
              </w:rPr>
              <w:t xml:space="preserve">Caixa Geral de Depósitos</w:t>
            </w:r>
            <w:r>
              <w:t xml:space="preserve">, titular ABC – Consultoria Empresarial, Lda.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€ 120 000,00</w:t>
            </w:r>
            <w:r>
              <w:t xml:space="preserve"> </w:t>
            </w:r>
            <w:r>
              <w:t xml:space="preserve">(saldo em 15/05/2024)</w:t>
            </w:r>
          </w:p>
        </w:tc>
        <w:tc>
          <w:tcPr/>
          <w:p>
            <w:pPr>
              <w:pStyle w:val="Compact"/>
            </w:pPr>
            <w:r>
              <w:t xml:space="preserve">Saldo disponível para penhora até ao limite legal.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Direitos de Crédito</w:t>
            </w:r>
          </w:p>
        </w:tc>
        <w:tc>
          <w:tcPr/>
          <w:p>
            <w:pPr>
              <w:pStyle w:val="Compact"/>
            </w:pPr>
            <w:r>
              <w:t xml:space="preserve">Facturas emitidas contra clientes da ABC, totalizando</w:t>
            </w:r>
            <w:r>
              <w:t xml:space="preserve"> </w:t>
            </w:r>
            <w:r>
              <w:rPr>
                <w:b/>
                <w:bCs/>
              </w:rPr>
              <w:t xml:space="preserve">€ 75 000,00</w:t>
            </w:r>
            <w:r>
              <w:t xml:space="preserve"> </w:t>
            </w:r>
            <w:r>
              <w:t xml:space="preserve">(facturas nº 2024/001 a 2024/050)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€ 75 000,00</w:t>
            </w:r>
          </w:p>
        </w:tc>
        <w:tc>
          <w:tcPr/>
          <w:p>
            <w:pPr>
              <w:pStyle w:val="Compact"/>
            </w:pPr>
            <w:r>
              <w:t xml:space="preserve">Direitos de crédito executáveis.</w:t>
            </w:r>
          </w:p>
        </w:tc>
      </w:tr>
    </w:tbl>
    <w:p>
      <w:pPr>
        <w:numPr>
          <w:ilvl w:val="0"/>
          <w:numId w:val="1005"/>
        </w:numPr>
      </w:pPr>
      <w:r>
        <w:rPr>
          <w:b/>
          <w:bCs/>
        </w:rPr>
        <w:t xml:space="preserve">A decretação da penhora</w:t>
      </w:r>
      <w:r>
        <w:t xml:space="preserve"> </w:t>
      </w:r>
      <w:r>
        <w:t xml:space="preserve">dos bens descritos na tabela acima, nos termos dos artigos 657.º a 666.º do CPC;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expedição de ofício</w:t>
      </w:r>
      <w:r>
        <w:t xml:space="preserve"> </w:t>
      </w:r>
      <w:r>
        <w:t xml:space="preserve">ao Banco Caixa Geral de Depósitos, requerendo a anotação de penhora sobre a conta corrente indicada, nos termos do artigo 661.º, n.º 2, do CPC;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intimação</w:t>
      </w:r>
      <w:r>
        <w:t xml:space="preserve"> </w:t>
      </w:r>
      <w:r>
        <w:t xml:space="preserve">do executado, ABC – Consultoria Empresarial, Lda., para que, no prazo de</w:t>
      </w:r>
      <w:r>
        <w:t xml:space="preserve"> </w:t>
      </w:r>
      <w:r>
        <w:rPr>
          <w:b/>
          <w:bCs/>
        </w:rPr>
        <w:t xml:space="preserve">15 (quinze) dias</w:t>
      </w:r>
      <w:r>
        <w:t xml:space="preserve">, apresente, caso queira, impugnação ou proposta de substituição dos bens penhorados, nos termos do artigo 663.º do CPC;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fixação de caução</w:t>
      </w:r>
      <w:r>
        <w:t xml:space="preserve"> </w:t>
      </w:r>
      <w:r>
        <w:t xml:space="preserve">no valor de</w:t>
      </w:r>
      <w:r>
        <w:t xml:space="preserve"> </w:t>
      </w:r>
      <w:r>
        <w:rPr>
          <w:b/>
          <w:bCs/>
        </w:rPr>
        <w:t xml:space="preserve">€ 5 000,00</w:t>
      </w:r>
      <w:r>
        <w:t xml:space="preserve">, nos termos do artigo 664.º do CPC, caso Vossa Excelência entenda necessário para garantir eventual responsabilidade por abuso de direito;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expedição de certidão</w:t>
      </w:r>
      <w:r>
        <w:t xml:space="preserve"> </w:t>
      </w:r>
      <w:r>
        <w:t xml:space="preserve">para o registo da penhora no Registo Predial e no Registo Automóvel, bem como a comunicação ao Instituto dos Registos e do Notariado (IRN), conforme previsto no artigo 669.º do CPC.</w:t>
      </w:r>
    </w:p>
    <w:bookmarkEnd w:id="16"/>
    <w:bookmarkStart w:id="17" w:name="iv.-dos-pedidos-subsidiários"/>
    <w:p>
      <w:pPr>
        <w:pStyle w:val="Heading3"/>
      </w:pPr>
      <w:r>
        <w:t xml:space="preserve">IV. Dos Pedidos Subsidiários</w:t>
      </w:r>
    </w:p>
    <w:p>
      <w:pPr>
        <w:pStyle w:val="FirstParagraph"/>
      </w:pPr>
      <w:r>
        <w:t xml:space="preserve">Caso Vossa Excelência entenda que a penhora sobre o imóvel descrito seja excessiva ou incompatível com a preservação da atividade empresarial da Ré, requer‑se, subsidiariamente:</w:t>
      </w:r>
    </w:p>
    <w:p>
      <w:pPr>
        <w:numPr>
          <w:ilvl w:val="0"/>
          <w:numId w:val="1006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penhora parcial</w:t>
      </w:r>
      <w:r>
        <w:t xml:space="preserve"> </w:t>
      </w:r>
      <w:r>
        <w:t xml:space="preserve">sobre o mesmo imóvel, limitada a</w:t>
      </w:r>
      <w:r>
        <w:t xml:space="preserve"> </w:t>
      </w:r>
      <w:r>
        <w:rPr>
          <w:b/>
          <w:bCs/>
        </w:rPr>
        <w:t xml:space="preserve">¼ (um quarto)</w:t>
      </w:r>
      <w:r>
        <w:t xml:space="preserve"> </w:t>
      </w:r>
      <w:r>
        <w:t xml:space="preserve">da sua superfície, conforme avaliação pericial a ser realizada;</w:t>
      </w:r>
    </w:p>
    <w:p>
      <w:pPr>
        <w:numPr>
          <w:ilvl w:val="0"/>
          <w:numId w:val="1006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penhora de garantias alternativas</w:t>
      </w:r>
      <w:r>
        <w:t xml:space="preserve">, nomeadamente a</w:t>
      </w:r>
      <w:r>
        <w:t xml:space="preserve"> </w:t>
      </w:r>
      <w:r>
        <w:rPr>
          <w:b/>
          <w:bCs/>
        </w:rPr>
        <w:t xml:space="preserve">cédula de crédito bancário</w:t>
      </w:r>
      <w:r>
        <w:t xml:space="preserve"> </w:t>
      </w:r>
      <w:r>
        <w:t xml:space="preserve">emitida pela ABC – Consultoria Empresarial, Lda. a favor da XYZ – Serviços de Tecnologia, Lda., no valor de</w:t>
      </w:r>
      <w:r>
        <w:t xml:space="preserve"> </w:t>
      </w:r>
      <w:r>
        <w:rPr>
          <w:b/>
          <w:bCs/>
        </w:rPr>
        <w:t xml:space="preserve">€ 80 000,00</w:t>
      </w:r>
      <w:r>
        <w:t xml:space="preserve">.</w:t>
      </w:r>
    </w:p>
    <w:bookmarkEnd w:id="17"/>
    <w:bookmarkStart w:id="18" w:name="v.-dos-protestos"/>
    <w:p>
      <w:pPr>
        <w:pStyle w:val="Heading3"/>
      </w:pPr>
      <w:r>
        <w:t xml:space="preserve">V. Dos Protestos</w:t>
      </w:r>
    </w:p>
    <w:p>
      <w:pPr>
        <w:pStyle w:val="FirstParagraph"/>
      </w:pPr>
      <w:r>
        <w:t xml:space="preserve">A Requerente protesta, desde já, contra a eventual nulidade dos atos de penhora que venham a ser praticados em desconformidade com as normas legais acima referidas, bem como reserva‑se ao direito de impugnar quaisquer decisões que não assegurem a efetiva garantia do crédito reconhecido.</w:t>
      </w:r>
    </w:p>
    <w:bookmarkEnd w:id="18"/>
    <w:bookmarkStart w:id="19" w:name="X889e8edb8a2b2f18f9a532ec865545d713a42d6"/>
    <w:p>
      <w:pPr>
        <w:pStyle w:val="Heading3"/>
      </w:pPr>
      <w:r>
        <w:t xml:space="preserve">VI. Dos Documentos que Acompanham o Requerimento</w:t>
      </w:r>
    </w:p>
    <w:p>
      <w:pPr>
        <w:pStyle w:val="Compact"/>
        <w:numPr>
          <w:ilvl w:val="0"/>
          <w:numId w:val="1007"/>
        </w:numPr>
      </w:pPr>
      <w:r>
        <w:t xml:space="preserve">Cópia autenticada do</w:t>
      </w:r>
      <w:r>
        <w:t xml:space="preserve"> </w:t>
      </w:r>
      <w:r>
        <w:rPr>
          <w:b/>
          <w:bCs/>
        </w:rPr>
        <w:t xml:space="preserve">Contrato de Prestação de Serviços</w:t>
      </w:r>
      <w:r>
        <w:t xml:space="preserve"> </w:t>
      </w:r>
      <w:r>
        <w:t xml:space="preserve">(CT‑2023/001);</w:t>
      </w:r>
      <w:r>
        <w:br/>
      </w:r>
    </w:p>
    <w:p>
      <w:pPr>
        <w:pStyle w:val="Compact"/>
        <w:numPr>
          <w:ilvl w:val="0"/>
          <w:numId w:val="1007"/>
        </w:numPr>
      </w:pPr>
      <w:r>
        <w:t xml:space="preserve">Cópia dos</w:t>
      </w:r>
      <w:r>
        <w:t xml:space="preserve"> </w:t>
      </w:r>
      <w:r>
        <w:rPr>
          <w:b/>
          <w:bCs/>
        </w:rPr>
        <w:t xml:space="preserve">comprovativos de pagamento</w:t>
      </w:r>
      <w:r>
        <w:t xml:space="preserve"> </w:t>
      </w:r>
      <w:r>
        <w:t xml:space="preserve">dos € 100 000,00 antecipados;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Notificações</w:t>
      </w:r>
      <w:r>
        <w:t xml:space="preserve"> </w:t>
      </w:r>
      <w:r>
        <w:t xml:space="preserve">enviadas à Ré (cópias datadas de 10/04/2024 e 25/04/2024);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Extrato bancário</w:t>
      </w:r>
      <w:r>
        <w:t xml:space="preserve"> </w:t>
      </w:r>
      <w:r>
        <w:t xml:space="preserve">da conta da ABC – Consultoria Empresarial, Lda., emitido em 15/05/2024;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Avaliação patrimonial</w:t>
      </w:r>
      <w:r>
        <w:t xml:space="preserve"> </w:t>
      </w:r>
      <w:r>
        <w:t xml:space="preserve">do imóvel localizado em Porto, realizada pela empresa</w:t>
      </w:r>
      <w:r>
        <w:t xml:space="preserve"> </w:t>
      </w:r>
      <w:r>
        <w:rPr>
          <w:b/>
          <w:bCs/>
        </w:rPr>
        <w:t xml:space="preserve">AvaliaMais, Lda.</w:t>
      </w:r>
      <w:r>
        <w:t xml:space="preserve">, com data de 18/05/2024;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Registo de propriedade</w:t>
      </w:r>
      <w:r>
        <w:t xml:space="preserve"> </w:t>
      </w:r>
      <w:r>
        <w:t xml:space="preserve">do veículo Audi A4, certificado pela Conservatória do Registo Automóvel de Porto.</w:t>
      </w:r>
    </w:p>
    <w:bookmarkEnd w:id="19"/>
    <w:bookmarkStart w:id="20" w:name="vii.-do-pedido-final"/>
    <w:p>
      <w:pPr>
        <w:pStyle w:val="Heading3"/>
      </w:pPr>
      <w:r>
        <w:t xml:space="preserve">VII. Do Pedido Final</w:t>
      </w:r>
    </w:p>
    <w:p>
      <w:pPr>
        <w:pStyle w:val="FirstParagraph"/>
      </w:pPr>
      <w:r>
        <w:t xml:space="preserve">Pelo exposto, requer‑se a Vossa Excelência que se digne a: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Decretar a penhora</w:t>
      </w:r>
      <w:r>
        <w:t xml:space="preserve"> </w:t>
      </w:r>
      <w:r>
        <w:t xml:space="preserve">dos bens elencados na tabela do ponto III;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Autorizar a prática dos atos de conservação</w:t>
      </w:r>
      <w:r>
        <w:t xml:space="preserve"> </w:t>
      </w:r>
      <w:r>
        <w:t xml:space="preserve">necessários à efetiva realização da penhora;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Determinar a intimação</w:t>
      </w:r>
      <w:r>
        <w:t xml:space="preserve"> </w:t>
      </w:r>
      <w:r>
        <w:t xml:space="preserve">do executado para os efeitos legais;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Conceder, caso necessário, a caução</w:t>
      </w:r>
      <w:r>
        <w:t xml:space="preserve"> </w:t>
      </w:r>
      <w:r>
        <w:t xml:space="preserve">solicitada;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Proceder à expedição dos ofícios</w:t>
      </w:r>
      <w:r>
        <w:t xml:space="preserve"> </w:t>
      </w:r>
      <w:r>
        <w:t xml:space="preserve">e comunicações previstas;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Juntar ao processo</w:t>
      </w:r>
      <w:r>
        <w:t xml:space="preserve"> </w:t>
      </w:r>
      <w:r>
        <w:t xml:space="preserve">os documentos anexos.</w:t>
      </w:r>
    </w:p>
    <w:p>
      <w:pPr>
        <w:pStyle w:val="FirstParagraph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João Silva</w:t>
      </w:r>
      <w:r>
        <w:br/>
      </w:r>
      <w:r>
        <w:t xml:space="preserve">OAB 12345 – Advogado da Requerente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Dra. Maria Fernandes</w:t>
      </w:r>
      <w:r>
        <w:br/>
      </w:r>
      <w:r>
        <w:t xml:space="preserve">OAB 67890 – Advogada da Requerente</w:t>
      </w:r>
    </w:p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